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2305"/>
        <w:gridCol w:w="4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советом при комитете по делам молодежи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антимонопольном комплаенсе комитета по делам молодежи Костромской области по итогам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             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2258-р, распоряжением губернатора Костромской области от 21 февраля 2019 года     № 106-р «О создании и организации системы внутреннего обеспечения соответствия требованиям антимонопольного законодательства деятельности  органов исполнительной власти Костромской области» комитетом по делам молодежи Костромской области приняты следующие правовые акты: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по делам молодежи Костромской области от               25 февраля 2019 года № 42 «Об организации системы внутреннего обеспечения соответствия требованиям антимонопольного законодательства Российской Федерации в комитете по делам молодежи Костромской области», которым определены функции уполномоченного  подразделения, связанные с организацией и функционированием антимонопольного комплаенса в комитете по делам молодежи Костромской области (далее – комитет); сведения о коллегиальном органе при комитете, осуществляющем оценку эффективности функционирования антимонопольного комплаенса; порядок выявления и оценки рисков нарушения антимонопольного законодательства; мероприятия по снижению рисков нарушения антимонопольного законодательства; содержание и порядок утверждения доклада об антимонопольном комплаенсе; порядок ознакомления служащих комитета с приказом об антимонопольном комплаенсе; проведение обучения требованиям антимонопольного законодательства и антимонопольного комплаенся; меры, направленные на осуществление комитетом контроля за функционированием антимонопольного комсплаенса; ответственность за неисполнение внутренних документов комитета, регламентирующих процедуры и мероприятия антимонопольного комплаенса;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от 6 мая 2019 года № 105 «Об утверждении методики расчета ключевых показателей эффективности функционирования в комитете по делам молодежи Костромской области антимонопольного комплаенса»;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от 27 мая 2019 года № 117 «Об утверждении карты комплаенс-рисков комитета по делам молодежи Костромской области»;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от 27 мая 2019 года № 118 «Об утверждении плана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(комплаенс-рисков) комитета по делам молодежи Костромской области («дорожная карта»);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комитета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мая 2019 года № 116 «О внесении изменений приказ комитета по делам молодежи Костромской области от 11.07.2016 № 90 «Об общественном совете при комитете по делам молодежи Костромской области»  в положение об Общественном совете при комитете по делам молодежи Костромской области внесены соответствующие изменения в части рассмотрения вопросов об организации и функционировании антимонопольного комплаенса в комитете;</w:t>
      </w:r>
    </w:p>
    <w:p>
      <w:pPr>
        <w:pStyle w:val="1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приказ комитета от 20 августа 2019 года № 176 «Об утверждении ключевых показателей эффективности функционирования в комитете по делам молодежи Костромской области  антимонопольного комплаенса».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приказы комитета размещены на официальном сайте в информационно-телекоммуникационной сети «Интернет».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уполномоченного подразделения комитета, связанные с организацией и функционированием в комитете антимонопольного комплаенса, возложены на сектор финансово-экономического и правового обеспечения. Уполномоченное подразделение осуществило  полный комплекс мероприятий, предусмотренных Положением об антимонопольном комплаенсе в комитете, план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(комплаенс-рисков) комитета по делам молодежи Костромской области («дорожная карта»)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 запрошены и проанализированы предложения от структурных подразделений комитета о наиболее вероятных нарушениях антимонопольного законодательства со стороны комитета, о возможных причинах и условиях их возникновения, предложения по их минимизации и устранению; проведены обучающие семинары с сотрудниками комитета с обсуждением вопросов соблюдения требований  антимонопольного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Результаты проведенной оценки комплаенс-рисков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рисков нарушения комитетом  антимонопольного законодательства (далее – комплаенс-риски) уполномоченным подразделением комитета проведен анализ факторов, событий и обстоятельств, влияющих на совершение данных нарушений.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и оценки рисков применялись понятия, методы и принципы, установленные в национальных и международных стандартах: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ГОСТ Р ИСО/МЭК 3101 – 2011 Методы оценки риска,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ГОСТ Р 51901.23 – 2012 Реестр риска. Руководство по оценке опасных событий для включения в реестр риска,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Международный стандарт 180 31000 Риск менеджмент – Принципы и руководства,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ГОСТ Р ИСО 9000-2015 Системы менеджмента качества. Основные положения и словарь.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 (далее – Методические рекомендации), ключевыми источниками информации для выявления комплаенс-рисков являются: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нарушениях антимонопольного законодательства, которые были допущены органом власти за предыдущие 3 года (подпункт «а» пункта 15 Методических рекомендаций);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информация, полученная в ходе проводимого анализа нормативных правовых актов органа власти (подпункты «б» и «в» пункта 15 Методических рекомендаций);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практика применения органом власти антимонопольного законодательства  (подпункт «г» пункта 15 Методических рекомендаций).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выявленных рисков нарушений антимонопольного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под комплаенс-рисками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события, как нарушение комитетом антимонопольного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анализа выявленных рисков нарушений антимонопольного законодательства в деятельности комитета были осуществлены следующие мероприятия: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данных судебной практики за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результатов проверок деятельности комитета органами прокуратуры;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нарушений в деятельности комитета, выявленные в результате проверок Контрольно-счетной палаты Костромской области;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предложений от структурных подразделений  комитета о наиболее вероятных нарушениях антимонопольного законодательства со стороны комитета.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Анализ судебной практики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 комитет по делам молодежи Костромской области в судебных разбирательствах в качестве ответчика, истца, третьего лица или свидетеля не участвовал.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Анализ результатов проверок деятельности комитета органами прокуратуры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органами прокуратуры проверка деятельности комитета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проводилась.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firstLine="709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органами прокуратуры проведена 1 проверка деятельности комитета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сфере реализации  федеральной целевой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HYPERLINK consultantplus://offline/ref=A4C2521B31B6B6C2E0A4C7C6BC6E305583EB6528E2B14E07B92A2031E8CD65D16D7E3FE680F1D365CBE94BD1D0o225N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Увековечение памяти погибших при защите Отечества на 2019-2024 годы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утвержденной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остановлением Правительства Российской Федерации от 9 августа 2019 года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1036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Об утверждении федеральной целевой программы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Увековечение памяти погибших при защите Отечества на 2019-2024 годы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комитета не выявлено.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firstLine="709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>органами прокуратуры проведена 1 проверка деятельности комитета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сфере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организации работы Молодежного Правительства Костромской области. </w:t>
      </w:r>
      <w:r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комитета не выявлено.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Анализ результатов проверок деятельности комитета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Костромской области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Контрольно-счетной палатой Костромской области в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годах не проводились.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Анализ предложений от структурных подразделений  комитета о наиболее вероятных нарушениях антимонопольного законодательства со стороны комитета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от структурных подразделений  комитета о наиболее вероятных нарушениях антимонопольного законодательства со стороны комитета не поступали.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нормативных правовых актов Костромской области, регулирующих сферы деятельности комитета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нормативных правовых актов, регулирующих сферы деятельности комитета, структурными подразделениями в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включал в себя следующие мероприятия, результаты реализации которых для обобщения и контроля направлялись в уполномоченное подразделение: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размещение на официальном сайте комитета в информационно-телекоммуникационной сети «Интернет» (далее – официальный сайт) исчерпывающего перечня нормативных правовых актов Костромской области, регулирующих деятельность комитета (далее –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в сектор финансово-экономического и правового обеспечения комитета доклада с обоснованием целесообразности (нецелесообразности) внесения изменений в нормативные правовые акты Костромской области, регулирующие сферы деятельности комитета, для подготовки сводного доклада по указанному вопросу и его представления председателю комитета.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показал, что тексты нормативных правовых актов Костромской области, регулирующих сферы деятельности комитета, опубликованы в информационно-телекоммуникационной сети «Интернет» по адресам </w:t>
      </w:r>
      <w:r>
        <w:fldChar w:fldCharType="begin"/>
      </w:r>
      <w:r>
        <w:instrText xml:space="preserve"> HYPERLINK "http://pravo.adm44.ru/"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Style w:val="4"/>
          <w:rFonts w:ascii="Times New Roman" w:hAnsi="Times New Roman" w:cs="Times New Roman"/>
          <w:sz w:val="28"/>
          <w:szCs w:val="28"/>
        </w:rPr>
        <w:t>44.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  </w:t>
      </w:r>
      <w:r>
        <w:fldChar w:fldCharType="begin"/>
      </w:r>
      <w:r>
        <w:instrText xml:space="preserve"> HYPERLINK "http://pravo.gov.ru/"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также размещены на официальном сайте комитета.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сбора замечаний и предложений граждан и организаций по нормативным правовым актам Костромской области, регулирующим сферу деятельности комитета, на соответствие их антимонопольному законодательству размещена на официальном сайте комитета в январе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По результатам данной процедуры замечания и предложения в адрес комитета не поступали.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проектов нормативных правовых актов Костромской области, разрабатываемых комитетом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Костромской области, разрабатываемых структурными подразделениями комитета в части своей компетенции включает следующие мероприятия: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в информационно-телекоммуникационной сети «Интернет», 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Костромской области (портал государственных органов Костромской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проектов нормативных правовых актов Костромской области с необходимым обоснованием реализации предлагаемых решений, в том числе их влияния на конкуренцию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 такового)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предложений и замечаний по проектам нормативных правовых актов  Костромской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«Интернет» «Молодежь Костромской области» в подразделе «Антимонопольный комплаенс» размещалась информация о разработке комитетом проектов нормативных правовых актов в сфере деятельности комитета, указана ссылка на сайты, где размещены проекты нормативных правовых актов, и информация о возможности направления в комитет замечаний и предложений по размещенным проектам нормативных правовых актов.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разработано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Костромской 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разработано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Костромской 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 20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году комитетом разработано 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проектов нормативных правовых актов Костромской  области.</w:t>
      </w: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2.4.Мониторинг и анализ практики применения комитетом антимонопольного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и анализа практики применения антимонопольного законодательства в комитете уполномоченным подразделением совместно со структурными подразделениями комитета  реализованы следующие мероприятия: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на постоянной основе сбора сведений о правоприменительной практике в комитете (мониторинг правоприменения осуществлялся ежемесячно);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по итогам  сбора информации аналитической справки об изменениях и основных аспектах правоприменительной практики в комитете (ежемесячная справка по итогам мониторинга правоприменения).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сбора и анализа информации о правоприменительной практике в комитете, необходимости внесения изменений в нормативные правовые акты Костромской области с целью приведения их в соответствие с требованиями антимонопольного законодательства, не выявлено.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рисков нарушения антимонопольного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рисков нарушения антимонопольного законодательства уполномоченным подразделением совместно со структурными подразделениями комитета проводится оценка этих рисков с учетом следующих показателей: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отрицательное влияние на отношение институтов гражданского общества к деятельности комитета по развитию конкуренции;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выдача предупреждения о прекращении действий (бездействия), которые содержат признаки нарушения антимонопольного  законодательства;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возбуждение дела о нарушении антимонопольного законодательства;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6"/>
        <w:ind w:right="105" w:firstLine="708"/>
      </w:pPr>
      <w:r>
        <w:t xml:space="preserve">Распределение выявленных рисков нарушения антимонопольного законодательства по уровням уполномоченным подразделением совместно со структурными подразделениями комитета осуществлялось в соответствии с Методическими </w:t>
      </w:r>
      <w:r>
        <w:fldChar w:fldCharType="begin"/>
      </w:r>
      <w:r>
        <w:instrText xml:space="preserve"> HYPERLINK "consultantplus://offline/ref%3D768E02675DECFD51366A4465DCA45E59FB9D24D19F62FBDD85E6693C93BA3B3CE57EA722FF5BA7C795774E09FD90BBFAEEDB0A8C92657787V0uDL" \h </w:instrText>
      </w:r>
      <w:r>
        <w:fldChar w:fldCharType="separate"/>
      </w:r>
      <w:r>
        <w:t>рекомендациями</w:t>
      </w:r>
      <w:r>
        <w:fldChar w:fldCharType="end"/>
      </w:r>
      <w:r>
        <w:t>, утвержденными распоряжением Правительства Российской Федерации от 18 октября 2018 года №</w:t>
      </w:r>
      <w:r>
        <w:rPr>
          <w:spacing w:val="-1"/>
        </w:rPr>
        <w:t xml:space="preserve"> </w:t>
      </w:r>
      <w:r>
        <w:t>2258-р.</w:t>
      </w:r>
    </w:p>
    <w:p>
      <w:pPr>
        <w:pStyle w:val="6"/>
        <w:ind w:right="110" w:firstLine="708"/>
      </w:pPr>
      <w:r>
        <w:t>На основе проведенной оценки рисков нарушения антимонопольного законодательства уполномоченным подразделением совместно со структурными подразделениями комитета составлено описание рисков, в которое также включается оценка причин и условий возникновения рисков.</w:t>
      </w:r>
    </w:p>
    <w:p>
      <w:pPr>
        <w:pStyle w:val="6"/>
        <w:ind w:right="107" w:firstLine="708"/>
      </w:pPr>
      <w:r>
        <w:t xml:space="preserve">27 мая 2019 года приказом № 117 председателем комитета утверждена карта комплаенс-рисков комитета по делам молодежи Костромской области. </w:t>
      </w:r>
    </w:p>
    <w:p>
      <w:pPr>
        <w:pStyle w:val="6"/>
        <w:spacing w:line="321" w:lineRule="exact"/>
        <w:ind w:left="0" w:firstLine="708"/>
      </w:pPr>
      <w:r>
        <w:t xml:space="preserve">К высокому уровню риска отнесены административные процедуры по проведению закупок товаров, работ, услуг для  государственных нужд. </w:t>
      </w:r>
    </w:p>
    <w:p>
      <w:pPr>
        <w:pStyle w:val="6"/>
        <w:spacing w:line="321" w:lineRule="exact"/>
        <w:ind w:left="0" w:firstLine="708"/>
      </w:pPr>
      <w:r>
        <w:t>Иные административные процедуры отнесены к низкому уровню</w:t>
      </w:r>
      <w:r>
        <w:rPr>
          <w:spacing w:val="-5"/>
        </w:rPr>
        <w:t xml:space="preserve"> </w:t>
      </w:r>
      <w:r>
        <w:t>риска.</w:t>
      </w:r>
    </w:p>
    <w:p>
      <w:pPr>
        <w:pStyle w:val="6"/>
        <w:ind w:left="0" w:right="108" w:firstLine="708"/>
      </w:pPr>
      <w:r>
        <w:t>В Карте комплаенс-рисков составлено описание рисков, а также оценка причин и условий возникновения комплаенс-рисков.</w:t>
      </w:r>
    </w:p>
    <w:p>
      <w:pPr>
        <w:pStyle w:val="6"/>
        <w:spacing w:before="6"/>
        <w:ind w:left="0" w:firstLine="708"/>
        <w:jc w:val="left"/>
        <w:rPr>
          <w:sz w:val="23"/>
        </w:rPr>
      </w:pPr>
    </w:p>
    <w:p>
      <w:pPr>
        <w:tabs>
          <w:tab w:val="left" w:pos="1518"/>
        </w:tabs>
        <w:spacing w:after="0" w:line="240" w:lineRule="auto"/>
        <w:ind w:left="0" w:leftChars="0" w:right="112" w:firstLine="0" w:firstLineChars="0"/>
        <w:jc w:val="center"/>
        <w:rPr>
          <w:sz w:val="27"/>
        </w:rPr>
      </w:pPr>
      <w:r>
        <w:rPr>
          <w:rFonts w:ascii="Times New Roman" w:hAnsi="Times New Roman" w:cs="Times New Roman"/>
          <w:sz w:val="28"/>
        </w:rPr>
        <w:t xml:space="preserve">3. Информация об исполнении мероприятий по снижению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комплаенс-рисков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совместно со структурными подразделениями комитета разработан план мероприятий по снижению рисков нарушения антимонопольного законодательства (комплаенс-рисков) комитета по делам молодежи Костромской области («дорожная карта»)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spacing w:before="1"/>
        <w:ind w:right="103" w:firstLine="708"/>
      </w:pPr>
      <w:r>
        <w:t>По каждому комплаенс-риску определены общие меры по минимизации и устранению рисков, предложены действия способствующие устранению комплаенс-рисков, определены необходимые ресурсы, распределена ответственность и полномочия сотрудников комитета, а также определены сроки выполнения работ по устранению комплаенс- рисков.</w:t>
      </w:r>
    </w:p>
    <w:p>
      <w:pPr>
        <w:pStyle w:val="6"/>
        <w:ind w:right="107" w:firstLine="708"/>
      </w:pPr>
      <w:r>
        <w:t>Уполномоченное подразделение совместно со структурными подразделениями комитета осуществлял мониторинг исполнения мероприятий по снижению рисков нарушения антимонопольного законодательства.</w:t>
      </w:r>
    </w:p>
    <w:p>
      <w:pPr>
        <w:pStyle w:val="6"/>
        <w:ind w:right="103" w:firstLine="566"/>
      </w:pPr>
      <w:r>
        <w:t>Учитывая отсутствие нарушений антимонопольного законодательства в деятельности комитета в 20</w:t>
      </w:r>
      <w:r>
        <w:rPr>
          <w:rFonts w:hint="default"/>
          <w:lang w:val="ru-RU"/>
        </w:rPr>
        <w:t xml:space="preserve">21 </w:t>
      </w:r>
      <w:r>
        <w:t>году можно сделать вывод об эффективности предложенных действий по снижению комплаенс-рисков комитета.</w:t>
      </w:r>
    </w:p>
    <w:p>
      <w:pPr>
        <w:pStyle w:val="6"/>
        <w:spacing w:before="3"/>
        <w:ind w:left="0"/>
        <w:jc w:val="left"/>
      </w:pPr>
    </w:p>
    <w:p>
      <w:pPr>
        <w:tabs>
          <w:tab w:val="left" w:pos="1218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Информация о достижении ключевых показателей эффективности антимонопольного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комплаенса.</w:t>
      </w:r>
    </w:p>
    <w:p>
      <w:pPr>
        <w:pStyle w:val="6"/>
        <w:spacing w:before="1"/>
        <w:ind w:right="103" w:firstLine="566"/>
      </w:pPr>
      <w:r>
        <w:t>Методика расчета ключевых показателей эффективности функционирования в комитете по делам молодежи Костромской области антимонопольного комплаенса утверждена приказом комитета от</w:t>
      </w:r>
      <w:r>
        <w:rPr>
          <w:spacing w:val="8"/>
        </w:rPr>
        <w:t xml:space="preserve"> </w:t>
      </w:r>
      <w:r>
        <w:t>6 мая    2019 года № 105 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fldChar w:fldCharType="begin"/>
      </w:r>
      <w:r>
        <w:instrText xml:space="preserve"> HYPERLINK "consultantplus://offline/ref%3D0B7465D2F26BE68FE655EE6F576F1102802AC44CD918CC48250309E734B6D4F79F0CEB41568A5D6CCE2E2673D1R9T2N" \h </w:instrText>
      </w:r>
      <w:r>
        <w:fldChar w:fldCharType="separate"/>
      </w:r>
      <w:r>
        <w:t>распоряжением</w:t>
      </w:r>
      <w:r>
        <w:rPr>
          <w:spacing w:val="10"/>
        </w:rPr>
        <w:t xml:space="preserve"> </w:t>
      </w:r>
      <w:r>
        <w:rPr>
          <w:spacing w:val="10"/>
        </w:rPr>
        <w:fldChar w:fldCharType="end"/>
      </w:r>
      <w:r>
        <w:t>Правительства Российской Федерации от 18.10.2018 № 2258-р, и с учетом приказа ФАС России от           5 февраля 2019 года № 133/19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комплаенса.</w:t>
      </w:r>
    </w:p>
    <w:p>
      <w:pPr>
        <w:pStyle w:val="6"/>
        <w:ind w:right="102" w:firstLine="566"/>
      </w:pPr>
      <w:r>
        <w:t>В целях оценки эффективности функционирования в комитете антимонопольного комплаенса в соответствии с Методикой рассчитываются ключевые показатели эффективности антимонопольного комплаенса (далее - КПЭ) как для уполномоченного подразделения, структурных подразделений комитета, так и для комитета в целом.</w:t>
      </w:r>
    </w:p>
    <w:p>
      <w:pPr>
        <w:pStyle w:val="6"/>
        <w:ind w:right="104" w:firstLine="566"/>
      </w:pPr>
      <w:r>
        <w:t>Значения ключевых показателей эффективности функционирования антимонопольного комплаенса в комитете утверждены приказом комитета от 20 августа 2019 года № 176.</w:t>
      </w:r>
    </w:p>
    <w:p>
      <w:pPr>
        <w:pStyle w:val="6"/>
        <w:tabs>
          <w:tab w:val="left" w:pos="2656"/>
          <w:tab w:val="left" w:pos="4825"/>
          <w:tab w:val="left" w:pos="7198"/>
        </w:tabs>
        <w:ind w:right="106" w:firstLine="566"/>
      </w:pPr>
      <w:r>
        <w:t xml:space="preserve">Ключевыми показателями эффективности </w:t>
      </w:r>
      <w:r>
        <w:rPr>
          <w:spacing w:val="-1"/>
        </w:rPr>
        <w:t xml:space="preserve">антимонопольного </w:t>
      </w:r>
      <w:r>
        <w:t>комплаенса для комитета и их значениями</w:t>
      </w:r>
      <w:r>
        <w:rPr>
          <w:spacing w:val="-6"/>
        </w:rPr>
        <w:t xml:space="preserve"> </w:t>
      </w:r>
      <w:r>
        <w:t>являются:</w:t>
      </w:r>
    </w:p>
    <w:p>
      <w:pPr>
        <w:pStyle w:val="6"/>
        <w:ind w:right="110" w:firstLine="566"/>
        <w:jc w:val="left"/>
      </w:pPr>
      <w:r>
        <w:t>1) коэффициент снижения количества нарушений антимонопольного законодательства со стороны комитета (по сравнению с 2017 годом) – 50</w:t>
      </w:r>
      <w:r>
        <w:rPr>
          <w:rFonts w:hint="default"/>
          <w:lang w:val="ru-RU"/>
        </w:rPr>
        <w:t xml:space="preserve"> </w:t>
      </w:r>
      <w:r>
        <w:t>%;</w:t>
      </w:r>
    </w:p>
    <w:p>
      <w:pPr>
        <w:pStyle w:val="6"/>
        <w:ind w:right="107" w:firstLine="566"/>
      </w:pPr>
      <w:r>
        <w:t>2) доля проектов нормативных правовых актов Костромской области, разработчиком которых является комитет, в которых выявлены риски нарушения антимонопольного законодательства – не более 10%;</w:t>
      </w:r>
    </w:p>
    <w:p>
      <w:pPr>
        <w:pStyle w:val="6"/>
        <w:ind w:right="110" w:firstLine="566"/>
      </w:pPr>
      <w:r>
        <w:t>3) доля нормативных правовых актов Костромской области, регулирующих сферы комитета, в которых выявлены риски нарушения антимонопольного законодательства – не белее 10%;</w:t>
      </w:r>
    </w:p>
    <w:p>
      <w:pPr>
        <w:pStyle w:val="6"/>
        <w:ind w:right="110" w:firstLine="566"/>
      </w:pPr>
      <w:r>
        <w:t>4) доля сотрудников структурных подразделений комитета, в отношении которых были проведены обучающие мероприятия по антимонопольному законодательству и антимонопольному комплаенсу – 70%.</w:t>
      </w:r>
    </w:p>
    <w:p>
      <w:pPr>
        <w:pStyle w:val="6"/>
        <w:ind w:right="110" w:firstLine="566"/>
      </w:pPr>
    </w:p>
    <w:p>
      <w:pPr>
        <w:pStyle w:val="6"/>
        <w:ind w:right="109" w:firstLine="427"/>
        <w:rPr>
          <w:sz w:val="20"/>
        </w:rPr>
        <w:sectPr>
          <w:pgSz w:w="11910" w:h="16840"/>
          <w:pgMar w:top="1040" w:right="740" w:bottom="280" w:left="1600" w:header="749" w:footer="0" w:gutter="0"/>
          <w:cols w:space="720" w:num="1"/>
        </w:sectPr>
      </w:pPr>
      <w:r>
        <w:rPr>
          <w:b w:val="0"/>
          <w:bCs/>
        </w:rPr>
        <w:t>Коэффициент снижения количества нарушений антимонопольного законодательства с</w:t>
      </w:r>
      <w:r>
        <w:t>о стороны комитета (по сравнению с 201</w:t>
      </w:r>
      <w:r>
        <w:rPr>
          <w:rFonts w:hint="default"/>
          <w:lang w:val="ru-RU"/>
        </w:rPr>
        <w:t>7</w:t>
      </w:r>
      <w:r>
        <w:t xml:space="preserve"> годом) рассчитывается по формуле:</w:t>
      </w:r>
    </w:p>
    <w:p>
      <w:pPr>
        <w:spacing w:before="267"/>
        <w:ind w:left="59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281305</wp:posOffset>
                </wp:positionV>
                <wp:extent cx="469265" cy="0"/>
                <wp:effectExtent l="12065" t="8255" r="13970" b="107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838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o:spt="20" style="position:absolute;left:0pt;margin-left:153.2pt;margin-top:22.15pt;height:0pt;width:36.95pt;mso-position-horizontal-relative:page;z-index:-251657216;mso-width-relative:page;mso-height-relative:page;" filled="f" stroked="t" coordsize="21600,21600" o:gfxdata="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rVxH1QAAAAkBAAAPAAAAAAAAAAEAIAAAACIA&#10;AABkcnMvZG93bnJldi54bWxQSwECFAAUAAAACACHTuJA8F//igwCAADnAwAADgAAAAAAAAABACAA&#10;AAAkAQAAZHJzL2Uyb0RvYy54bWxQSwUGAAAAAAYABgBZAQAAogUAAAAA&#10;">
                <v:fill on="f" focussize="0,0"/>
                <v:stroke weight="0.66023622047244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</w:rPr>
        <w:t>КСН =</w:t>
      </w:r>
    </w:p>
    <w:p>
      <w:pPr>
        <w:spacing w:before="124" w:line="189" w:lineRule="auto"/>
        <w:ind w:left="119" w:right="6295" w:hanging="33"/>
        <w:rPr>
          <w:rFonts w:ascii="Times New Roman" w:hAnsi="Times New Roman" w:cs="Times New Roman"/>
          <w:position w:val="-9"/>
          <w:sz w:val="2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7"/>
          <w:sz w:val="26"/>
        </w:rPr>
        <w:t>КН</w:t>
      </w:r>
      <w:r>
        <w:rPr>
          <w:rFonts w:ascii="Times New Roman" w:hAnsi="Times New Roman" w:cs="Times New Roman"/>
          <w:sz w:val="15"/>
        </w:rPr>
        <w:t>201</w:t>
      </w:r>
      <w:r>
        <w:rPr>
          <w:rFonts w:hint="default" w:ascii="Times New Roman" w:hAnsi="Times New Roman" w:cs="Times New Roman"/>
          <w:sz w:val="15"/>
          <w:lang w:val="ru-RU"/>
        </w:rPr>
        <w:t>7</w:t>
      </w:r>
      <w:r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position w:val="-9"/>
          <w:sz w:val="26"/>
        </w:rPr>
        <w:t xml:space="preserve">, где </w:t>
      </w:r>
    </w:p>
    <w:p>
      <w:pPr>
        <w:spacing w:before="124" w:line="189" w:lineRule="auto"/>
        <w:ind w:left="119" w:right="6295" w:hanging="3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КНоп</w:t>
      </w:r>
    </w:p>
    <w:p>
      <w:pPr>
        <w:spacing w:line="189" w:lineRule="auto"/>
        <w:rPr>
          <w:rFonts w:ascii="Times New Roman" w:hAnsi="Times New Roman" w:cs="Times New Roman"/>
          <w:sz w:val="26"/>
        </w:rPr>
        <w:sectPr>
          <w:type w:val="continuous"/>
          <w:pgSz w:w="11910" w:h="16840"/>
          <w:pgMar w:top="1040" w:right="740" w:bottom="280" w:left="1600" w:header="720" w:footer="720" w:gutter="0"/>
          <w:cols w:equalWidth="0" w:num="2">
            <w:col w:w="1355" w:space="40"/>
            <w:col w:w="8175"/>
          </w:cols>
        </w:sectPr>
      </w:pPr>
    </w:p>
    <w:p>
      <w:pPr>
        <w:pStyle w:val="6"/>
        <w:spacing w:before="7"/>
        <w:ind w:left="0"/>
        <w:jc w:val="left"/>
        <w:rPr>
          <w:sz w:val="20"/>
        </w:rPr>
      </w:pPr>
    </w:p>
    <w:p>
      <w:pPr>
        <w:pStyle w:val="6"/>
        <w:spacing w:before="89"/>
        <w:ind w:right="112" w:firstLine="539"/>
        <w:jc w:val="left"/>
      </w:pPr>
      <w:r>
        <w:t>КСН - коэффициент снижения количества нарушений антимонопольного законодательства со стороны комитета по сравнению с 2017 годом;</w:t>
      </w:r>
    </w:p>
    <w:p>
      <w:pPr>
        <w:pStyle w:val="6"/>
        <w:ind w:right="110" w:firstLine="539"/>
        <w:jc w:val="left"/>
      </w:pPr>
      <w:r>
        <w:t>КН</w:t>
      </w:r>
      <w:r>
        <w:rPr>
          <w:vertAlign w:val="subscript"/>
        </w:rPr>
        <w:t>201</w:t>
      </w:r>
      <w:r>
        <w:rPr>
          <w:rFonts w:hint="default"/>
          <w:vertAlign w:val="subscript"/>
          <w:lang w:val="ru-RU"/>
        </w:rPr>
        <w:t>8</w:t>
      </w:r>
      <w:r>
        <w:t xml:space="preserve"> - количество нарушений антимонопольного законодательства со стороны комитета в 201</w:t>
      </w:r>
      <w:r>
        <w:rPr>
          <w:rFonts w:hint="default"/>
          <w:lang w:val="ru-RU"/>
        </w:rPr>
        <w:t>7</w:t>
      </w:r>
      <w:r>
        <w:t xml:space="preserve"> году;</w:t>
      </w:r>
    </w:p>
    <w:p>
      <w:pPr>
        <w:pStyle w:val="6"/>
        <w:spacing w:line="242" w:lineRule="auto"/>
        <w:ind w:right="110" w:firstLine="539"/>
        <w:jc w:val="left"/>
      </w:pPr>
      <w:r>
        <w:t>КНоп - количество нарушений антимонопольного законодательства со стороны комитета в отчетном периоде.</w:t>
      </w:r>
    </w:p>
    <w:p>
      <w:pPr>
        <w:pStyle w:val="6"/>
        <w:spacing w:line="237" w:lineRule="auto"/>
        <w:ind w:right="144" w:firstLine="566"/>
      </w:pPr>
      <w:r>
        <w:t>В соответствии с письмом руководителя ФАС России И.Ю. Артемьева от 18.06.2019 № ИА/51052/19, в случае если в 201</w:t>
      </w:r>
      <w:r>
        <w:rPr>
          <w:rFonts w:hint="default"/>
          <w:lang w:val="ru-RU"/>
        </w:rPr>
        <w:t>7</w:t>
      </w:r>
      <w:r>
        <w:t xml:space="preserve"> году</w:t>
      </w:r>
      <w:r>
        <w:rPr>
          <w:spacing w:val="2"/>
        </w:rPr>
        <w:t xml:space="preserve"> </w:t>
      </w:r>
      <w:r>
        <w:t>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единице.</w:t>
      </w:r>
    </w:p>
    <w:p>
      <w:pPr>
        <w:pStyle w:val="6"/>
        <w:ind w:right="112" w:firstLine="539"/>
      </w:pPr>
      <w:r>
        <w:t>КН</w:t>
      </w:r>
      <w:r>
        <w:rPr>
          <w:vertAlign w:val="subscript"/>
        </w:rPr>
        <w:t>201</w:t>
      </w:r>
      <w:r>
        <w:rPr>
          <w:rFonts w:hint="default"/>
          <w:vertAlign w:val="subscript"/>
          <w:lang w:val="ru-RU"/>
        </w:rPr>
        <w:t>7</w:t>
      </w:r>
      <w:r>
        <w:t xml:space="preserve"> - количество нарушений антимонопольного законодательства со стороны комитета в 201</w:t>
      </w:r>
      <w:r>
        <w:rPr>
          <w:rFonts w:hint="default"/>
          <w:lang w:val="ru-RU"/>
        </w:rPr>
        <w:t>7</w:t>
      </w:r>
      <w:r>
        <w:t xml:space="preserve"> году равно - </w:t>
      </w:r>
      <w:r>
        <w:rPr>
          <w:rFonts w:hint="default"/>
          <w:lang w:val="ru-RU"/>
        </w:rPr>
        <w:t>0</w:t>
      </w:r>
      <w:r>
        <w:t>;</w:t>
      </w:r>
    </w:p>
    <w:p>
      <w:pPr>
        <w:pStyle w:val="6"/>
        <w:ind w:right="111" w:firstLine="539"/>
      </w:pPr>
      <w:r>
        <w:t xml:space="preserve">КНоп - количество нарушений антимонопольного законодательства со стороны комитета в отчетном периоде равно - </w:t>
      </w:r>
      <w:r>
        <w:rPr>
          <w:rFonts w:hint="default"/>
          <w:lang w:val="ru-RU"/>
        </w:rPr>
        <w:t>1</w:t>
      </w:r>
      <w:r>
        <w:t>.</w:t>
      </w:r>
    </w:p>
    <w:p>
      <w:pPr>
        <w:pStyle w:val="6"/>
        <w:ind w:right="108" w:firstLine="566"/>
      </w:pPr>
      <w:r>
        <w:t>С учетом изложенного коэффициент снижения количества нарушений антимонопольного законодательства со стороны комитета  (по сравнению с 2017 годом) составил –</w:t>
      </w:r>
      <w:r>
        <w:rPr>
          <w:spacing w:val="-5"/>
        </w:rPr>
        <w:t xml:space="preserve"> </w:t>
      </w:r>
      <w:r>
        <w:t>0.</w:t>
      </w:r>
    </w:p>
    <w:p>
      <w:pPr>
        <w:pStyle w:val="6"/>
        <w:ind w:right="107" w:firstLine="539"/>
        <w:rPr>
          <w:b/>
        </w:rPr>
      </w:pPr>
    </w:p>
    <w:p>
      <w:pPr>
        <w:pStyle w:val="6"/>
        <w:ind w:right="107" w:firstLine="539"/>
        <w:rPr>
          <w:sz w:val="20"/>
        </w:rPr>
      </w:pPr>
      <w:r>
        <w:rPr>
          <w:b w:val="0"/>
          <w:bCs/>
        </w:rPr>
        <w:t xml:space="preserve">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законодательства, </w:t>
      </w:r>
      <w:r>
        <w:t>рассчитывается по формуле:</w:t>
      </w:r>
      <w:r>
        <w:rPr>
          <w:sz w:val="20"/>
        </w:rPr>
        <w:t xml:space="preserve"> </w:t>
      </w:r>
    </w:p>
    <w:p>
      <w:pPr>
        <w:pStyle w:val="6"/>
        <w:ind w:firstLine="607"/>
      </w:pPr>
      <w:r>
        <w:t>Дпна</w:t>
      </w:r>
      <m:oMath>
        <m:r>
          <m:rPr/>
          <w:rPr>
            <w:rFonts w:ascii="Cambria Math" w:hAnsi="Cambria Math"/>
            <w:sz w:val="32"/>
            <w:szCs w:val="32"/>
            <w:u w:val="none"/>
          </w:rPr>
          <m:t>=</m:t>
        </m:r>
        <m:f>
          <m:fPr>
            <m:ctrlPr>
              <w:rPr>
                <w:rFonts w:hint="default" w:ascii="Cambria Math" w:hAnsi="Cambria Math" w:cs="Times New Roman"/>
                <w:i/>
                <w:sz w:val="32"/>
                <w:szCs w:val="32"/>
                <w:u w:val="none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Times New Roman"/>
                <w:sz w:val="32"/>
                <w:szCs w:val="32"/>
                <w:u w:val="none"/>
              </w:rPr>
              <m:t>Кпн</m:t>
            </m:r>
            <m:r>
              <m:rPr/>
              <w:rPr>
                <w:rFonts w:hint="default" w:ascii="Cambria Math" w:hAnsi="Cambria Math" w:cs="Times New Roman"/>
                <w:sz w:val="32"/>
                <w:szCs w:val="32"/>
                <w:u w:val="none"/>
              </w:rPr>
              <m:t>а</m:t>
            </m:r>
            <m:ctrlPr>
              <w:rPr>
                <w:rFonts w:hint="default" w:ascii="Cambria Math" w:hAnsi="Cambria Math" w:cs="Times New Roman"/>
                <w:i/>
                <w:sz w:val="32"/>
                <w:szCs w:val="32"/>
                <w:u w:val="none"/>
              </w:rPr>
            </m:ctrlPr>
          </m:num>
          <m:den>
            <m:r>
              <m:rPr/>
              <w:rPr>
                <w:rFonts w:hint="default" w:ascii="Cambria Math" w:hAnsi="Cambria Math" w:cs="Times New Roman"/>
                <w:sz w:val="32"/>
                <w:szCs w:val="32"/>
                <w:u w:val="none"/>
              </w:rPr>
              <m:t>КНоп</m:t>
            </m:r>
            <m:ctrlPr>
              <w:rPr>
                <w:rFonts w:hint="default" w:ascii="Cambria Math" w:hAnsi="Cambria Math" w:cs="Times New Roman"/>
                <w:i/>
                <w:sz w:val="32"/>
                <w:szCs w:val="32"/>
                <w:u w:val="none"/>
              </w:rPr>
            </m:ctrlPr>
          </m:den>
        </m:f>
      </m:oMath>
      <w:r>
        <w:t>, где</w:t>
      </w:r>
    </w:p>
    <w:p>
      <w:pPr>
        <w:pStyle w:val="6"/>
      </w:pPr>
      <w:r>
        <w:t>Дпнпа - 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законодательства;</w:t>
      </w:r>
    </w:p>
    <w:p>
      <w:pPr>
        <w:pStyle w:val="6"/>
      </w:pPr>
      <w:r>
        <w:t>Кпнпа - количество проектов нормативных правовых актов, разработчиком которых является комитет, в которых данным органом выявлены риски нарушения антимонопольного законодательства (в отчетном периоде);</w:t>
      </w:r>
    </w:p>
    <w:p>
      <w:pPr>
        <w:pStyle w:val="6"/>
      </w:pPr>
      <w:r>
        <w:t>Кноп - количество нормативных правовых актов, разработчиком которых является комитет, в которых антимонопольным органом выявлены нарушения антимонопольного законодательства (в отчетном периоде).</w:t>
      </w:r>
    </w:p>
    <w:p>
      <w:pPr>
        <w:pStyle w:val="6"/>
        <w:ind w:firstLine="566"/>
      </w:pPr>
      <w:r>
        <w:t>В соответствии с письмом руководителя ФАС России И.Ю. Артемьева от 18.06.2019 № ИА/51052/19 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</w:t>
      </w:r>
      <w:r>
        <w:rPr>
          <w:spacing w:val="-5"/>
        </w:rPr>
        <w:t xml:space="preserve"> </w:t>
      </w:r>
      <w:r>
        <w:t>единице.</w:t>
      </w:r>
    </w:p>
    <w:p>
      <w:pPr>
        <w:pStyle w:val="6"/>
        <w:ind w:firstLine="566"/>
      </w:pPr>
      <w:r>
        <w:t>Кпнпа - количество проектов нормативных правовых актов, разработчиком которых является комитет, в которых данным органом выявлены риски нарушения антимонопольного законодательства (в отчетном периоде) равно -</w:t>
      </w:r>
      <w:r>
        <w:rPr>
          <w:spacing w:val="-3"/>
        </w:rPr>
        <w:t xml:space="preserve"> </w:t>
      </w:r>
      <w:r>
        <w:t>0;</w:t>
      </w:r>
    </w:p>
    <w:p>
      <w:pPr>
        <w:pStyle w:val="6"/>
        <w:spacing w:before="1"/>
        <w:ind w:right="103" w:firstLine="539"/>
      </w:pPr>
      <w:r>
        <w:t>КНоп - количество нормативных правовых актов, разработчиком которых является комитет, в которых антимонопольным органом выявлены нарушения антимонопольного законодательства (в отчетном периоде)     равно -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ru-RU"/>
        </w:rPr>
        <w:t>1</w:t>
      </w:r>
      <w:r>
        <w:t>.</w:t>
      </w:r>
    </w:p>
    <w:p>
      <w:pPr>
        <w:pStyle w:val="6"/>
        <w:ind w:firstLine="566"/>
      </w:pPr>
    </w:p>
    <w:p>
      <w:pPr>
        <w:pStyle w:val="6"/>
        <w:rPr>
          <w:sz w:val="20"/>
        </w:rPr>
      </w:pPr>
    </w:p>
    <w:p>
      <w:pPr>
        <w:pStyle w:val="6"/>
        <w:spacing w:before="5" w:line="237" w:lineRule="auto"/>
        <w:ind w:right="105" w:firstLine="566"/>
      </w:pPr>
      <w:r>
        <w:t>С учетом изложенного 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 составляет – 0.</w:t>
      </w:r>
    </w:p>
    <w:p>
      <w:pPr>
        <w:pStyle w:val="6"/>
        <w:spacing w:before="5" w:line="237" w:lineRule="auto"/>
        <w:ind w:right="105" w:firstLine="566"/>
      </w:pPr>
    </w:p>
    <w:p>
      <w:pPr>
        <w:pStyle w:val="6"/>
        <w:spacing w:before="1"/>
        <w:ind w:right="102" w:firstLine="539"/>
      </w:pPr>
      <w:r>
        <w:rPr>
          <w:b w:val="0"/>
          <w:bCs/>
        </w:rPr>
        <w:t xml:space="preserve">Доля нормативных правовых актов, </w:t>
      </w:r>
      <w:r>
        <w:t xml:space="preserve">регулирующих сферы комитета, в которых выявлены риски нарушения антимонопольного законодательства, рассчитывается по формуле: </w:t>
      </w:r>
    </w:p>
    <w:p>
      <w:pPr>
        <w:pStyle w:val="6"/>
        <w:spacing w:before="1"/>
        <w:ind w:right="102" w:firstLine="539"/>
        <w:rPr>
          <w:sz w:val="21"/>
        </w:rPr>
        <w:sectPr>
          <w:pgSz w:w="11910" w:h="16840"/>
          <w:pgMar w:top="1040" w:right="740" w:bottom="280" w:left="1600" w:header="749" w:footer="0" w:gutter="0"/>
          <w:cols w:space="720" w:num="1"/>
        </w:sectPr>
      </w:pPr>
    </w:p>
    <w:p>
      <w:pPr>
        <w:spacing w:before="266"/>
        <w:ind w:left="70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280670</wp:posOffset>
                </wp:positionV>
                <wp:extent cx="427355" cy="0"/>
                <wp:effectExtent l="9525" t="10795" r="10795" b="82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838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160.5pt;margin-top:22.1pt;height:0pt;width:33.65pt;mso-position-horizontal-relative:page;z-index:-251656192;mso-width-relative:page;mso-height-relative:page;" filled="f" stroked="t" coordsize="21600,21600" o:gfxdata="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RJSg9YAAAAJAQAADwAAAAAAAAABACAAAAAi&#10;AAAAZHJzL2Rvd25yZXYueG1sUEsBAhQAFAAAAAgAh07iQMi6F9YMAgAA5wMAAA4AAAAAAAAAAQAg&#10;AAAAJQEAAGRycy9lMm9Eb2MueG1sUEsFBgAAAAAGAAYAWQEAAKMFAAAAAA==&#10;">
                <v:fill on="f" focussize="0,0"/>
                <v:stroke weight="0.66023622047244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</w:rPr>
        <w:t>Днпа =</w:t>
      </w:r>
    </w:p>
    <w:p>
      <w:pPr>
        <w:spacing w:before="108" w:line="196" w:lineRule="auto"/>
        <w:ind w:left="87" w:right="6184" w:firstLine="31"/>
        <w:rPr>
          <w:rFonts w:ascii="Times New Roman" w:hAnsi="Times New Roman" w:cs="Times New Roman"/>
          <w:position w:val="-16"/>
          <w:sz w:val="26"/>
        </w:rPr>
      </w:pPr>
      <w:r>
        <w:br w:type="column"/>
      </w:r>
      <w:r>
        <w:rPr>
          <w:rFonts w:ascii="Times New Roman" w:hAnsi="Times New Roman" w:cs="Times New Roman"/>
          <w:sz w:val="26"/>
        </w:rPr>
        <w:t xml:space="preserve">Кнпа </w:t>
      </w:r>
      <w:r>
        <w:rPr>
          <w:rFonts w:ascii="Times New Roman" w:hAnsi="Times New Roman" w:cs="Times New Roman"/>
          <w:position w:val="-16"/>
          <w:sz w:val="26"/>
        </w:rPr>
        <w:t xml:space="preserve">  </w:t>
      </w:r>
      <w:r>
        <w:rPr>
          <w:rFonts w:ascii="Times New Roman" w:hAnsi="Times New Roman" w:cs="Times New Roman"/>
          <w:position w:val="-16"/>
          <w:sz w:val="28"/>
          <w:szCs w:val="28"/>
        </w:rPr>
        <w:t xml:space="preserve">где </w:t>
      </w:r>
    </w:p>
    <w:p>
      <w:pPr>
        <w:spacing w:before="108" w:line="196" w:lineRule="auto"/>
        <w:ind w:left="87" w:right="6184" w:firstLine="3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КНоп</w:t>
      </w:r>
    </w:p>
    <w:p>
      <w:pPr>
        <w:spacing w:line="196" w:lineRule="auto"/>
        <w:rPr>
          <w:sz w:val="26"/>
        </w:rPr>
        <w:sectPr>
          <w:type w:val="continuous"/>
          <w:pgSz w:w="11910" w:h="16840"/>
          <w:pgMar w:top="1040" w:right="740" w:bottom="280" w:left="1600" w:header="720" w:footer="720" w:gutter="0"/>
          <w:cols w:equalWidth="0" w:num="2">
            <w:col w:w="1501" w:space="40"/>
            <w:col w:w="8029"/>
          </w:cols>
        </w:sectPr>
      </w:pPr>
    </w:p>
    <w:p>
      <w:pPr>
        <w:pStyle w:val="6"/>
        <w:spacing w:before="89"/>
        <w:ind w:right="105" w:firstLine="539"/>
      </w:pPr>
      <w:r>
        <w:t>Днпа - доля нормативных правовых актов, регулирующих сферы деятельности комитета, в которых выявлены риски нарушения антимонопольного законодательства;</w:t>
      </w:r>
    </w:p>
    <w:p>
      <w:pPr>
        <w:pStyle w:val="6"/>
        <w:ind w:right="105" w:firstLine="539"/>
      </w:pPr>
      <w:r>
        <w:t>Кпнпа - количество нормативных правовых актов, регулирующих сферы деятельности комитета, в которых данным органом выявлены риски нарушения антимонопольного законодательства (в отчетном</w:t>
      </w:r>
      <w:r>
        <w:rPr>
          <w:spacing w:val="-8"/>
        </w:rPr>
        <w:t xml:space="preserve"> </w:t>
      </w:r>
      <w:r>
        <w:t>периоде);</w:t>
      </w:r>
    </w:p>
    <w:p>
      <w:pPr>
        <w:pStyle w:val="6"/>
        <w:ind w:right="105" w:firstLine="539"/>
      </w:pPr>
      <w:r>
        <w:t>КНоп - количество нормативных правовых актов, регулирующих сферы деятельности комитета, в которых антимонопольным органом выявлены нарушения антимонопольного законодательства (в отчетном</w:t>
      </w:r>
      <w:r>
        <w:rPr>
          <w:spacing w:val="-6"/>
        </w:rPr>
        <w:t xml:space="preserve"> </w:t>
      </w:r>
      <w:r>
        <w:t>периоде).</w:t>
      </w:r>
    </w:p>
    <w:p>
      <w:pPr>
        <w:pStyle w:val="6"/>
        <w:spacing w:before="4" w:line="237" w:lineRule="auto"/>
        <w:ind w:right="107" w:firstLine="566"/>
      </w:pPr>
      <w:r>
        <w:t>В соответствии с письмом руководителя ФАС России И.Ю. Артемьева от 18.06.2019 № ИА/51052/19, 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</w:t>
      </w:r>
      <w:r>
        <w:rPr>
          <w:spacing w:val="-5"/>
        </w:rPr>
        <w:t xml:space="preserve"> </w:t>
      </w:r>
      <w:r>
        <w:t>единице.</w:t>
      </w:r>
    </w:p>
    <w:p>
      <w:pPr>
        <w:pStyle w:val="6"/>
        <w:spacing w:before="3"/>
        <w:ind w:right="105" w:firstLine="539"/>
      </w:pPr>
      <w:r>
        <w:t>Кпнпа - количество нормативных правовых актов, регулирующих сферы комитета, в которых данным органом выявлены риски нарушения антимонопольного законодательства (в отчетном периоде) равно -</w:t>
      </w:r>
      <w:r>
        <w:rPr>
          <w:spacing w:val="-9"/>
        </w:rPr>
        <w:t xml:space="preserve"> </w:t>
      </w:r>
      <w:r>
        <w:t>0;</w:t>
      </w:r>
    </w:p>
    <w:p>
      <w:pPr>
        <w:pStyle w:val="6"/>
        <w:ind w:right="105" w:firstLine="539"/>
      </w:pPr>
      <w:r>
        <w:t>КНоп - количество нормативных правовых актов, регулирующих сферы комитета, в которых антимонопольным органом выявлены нарушения антимонопольного законодательства (в отчетном периоде) равно -</w:t>
      </w:r>
      <w:r>
        <w:rPr>
          <w:spacing w:val="-8"/>
        </w:rPr>
        <w:t xml:space="preserve"> </w:t>
      </w:r>
      <w:r>
        <w:t>1.</w:t>
      </w:r>
    </w:p>
    <w:p>
      <w:pPr>
        <w:pStyle w:val="6"/>
        <w:spacing w:before="5" w:line="237" w:lineRule="auto"/>
        <w:ind w:right="104" w:firstLine="566"/>
      </w:pPr>
      <w:r>
        <w:t>Доля нормативных правовых актов, регулирующих сферы комитета, в которых выявлены риски нарушения антимонопольного законодательства составляет - 0.</w:t>
      </w:r>
    </w:p>
    <w:p>
      <w:pPr>
        <w:pStyle w:val="6"/>
        <w:spacing w:before="5" w:line="237" w:lineRule="auto"/>
        <w:ind w:right="104" w:firstLine="566"/>
      </w:pPr>
    </w:p>
    <w:p>
      <w:pPr>
        <w:pStyle w:val="6"/>
        <w:ind w:right="108" w:firstLine="607"/>
        <w:rPr>
          <w:sz w:val="20"/>
        </w:rPr>
      </w:pPr>
      <w:r>
        <w:rPr>
          <w:b w:val="0"/>
          <w:bCs/>
        </w:rPr>
        <w:t xml:space="preserve">Доля сотрудников структурных подразделений </w:t>
      </w:r>
      <w:r>
        <w:t>комитета,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  <w:r>
        <w:rPr>
          <w:sz w:val="20"/>
        </w:rPr>
        <w:t xml:space="preserve"> </w:t>
      </w:r>
    </w:p>
    <w:p>
      <w:pPr>
        <w:pStyle w:val="6"/>
        <w:ind w:right="108" w:firstLine="607"/>
        <w:rPr>
          <w:sz w:val="32"/>
          <w:szCs w:val="32"/>
        </w:rPr>
      </w:pPr>
      <w:r>
        <w:t>ДСо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КСо</m:t>
            </m:r>
            <m:ctrlPr>
              <w:rPr>
                <w:rFonts w:ascii="Cambria Math" w:hAnsi="Cambria Math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КСобщ, </m:t>
            </m:r>
            <m:ctrlPr>
              <w:rPr>
                <w:rFonts w:ascii="Cambria Math" w:hAnsi="Cambria Math"/>
                <w:sz w:val="32"/>
                <w:szCs w:val="32"/>
              </w:rPr>
            </m:ctrlPr>
          </m:den>
        </m:f>
      </m:oMath>
      <w:r>
        <w:rPr>
          <w:sz w:val="32"/>
          <w:szCs w:val="32"/>
        </w:rPr>
        <w:t>, где</w:t>
      </w:r>
    </w:p>
    <w:p>
      <w:pPr>
        <w:pStyle w:val="6"/>
        <w:ind w:right="108" w:firstLine="539"/>
      </w:pPr>
      <w:r>
        <w:t>ДСо - доля сотрудников структурных подразделений комитета, с которыми были проведены обучающие мероприятия по антимонопольному законодательству</w:t>
      </w:r>
      <w:r>
        <w:rPr>
          <w:spacing w:val="64"/>
        </w:rPr>
        <w:t xml:space="preserve"> </w:t>
      </w:r>
      <w:r>
        <w:t>и антимонопольному комплаенсу;</w:t>
      </w:r>
    </w:p>
    <w:p>
      <w:pPr>
        <w:pStyle w:val="6"/>
        <w:ind w:right="108" w:firstLine="539"/>
      </w:pPr>
      <w:r>
        <w:t xml:space="preserve">КСо - количество сотрудников структурных подразделений комитета, с которыми были проведены обучающие мероприятия по антимонопольному законодательству и антимонопольному комплаенсу – </w:t>
      </w:r>
      <w:r>
        <w:rPr>
          <w:rFonts w:hint="default"/>
          <w:lang w:val="ru-RU"/>
        </w:rPr>
        <w:t>7</w:t>
      </w:r>
      <w:r>
        <w:t>;</w:t>
      </w:r>
    </w:p>
    <w:p>
      <w:pPr>
        <w:pStyle w:val="6"/>
        <w:ind w:right="108" w:firstLine="539"/>
        <w:rPr>
          <w:sz w:val="20"/>
        </w:rPr>
      </w:pPr>
    </w:p>
    <w:p>
      <w:pPr>
        <w:rPr>
          <w:sz w:val="20"/>
        </w:rPr>
        <w:sectPr>
          <w:type w:val="continuous"/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1"/>
        <w:ind w:right="104" w:firstLine="539"/>
      </w:pPr>
      <w:r>
        <w:t xml:space="preserve">КСобщ - общее количество сотрудников комитета, чьи трудовые (должностные) обязанности предусматривают выполнение функций, связанных с рисками нарушения антимонопольного законодательства - </w:t>
      </w:r>
      <w:r>
        <w:rPr>
          <w:rFonts w:hint="default"/>
          <w:lang w:val="ru-RU"/>
        </w:rPr>
        <w:t>7</w:t>
      </w:r>
      <w:r>
        <w:t>.</w:t>
      </w:r>
    </w:p>
    <w:p>
      <w:pPr>
        <w:pStyle w:val="6"/>
        <w:ind w:right="108" w:firstLine="539"/>
      </w:pPr>
      <w:r>
        <w:t>Доля сотрудников структурных подразделений комитета, с которыми были проведены обучающие мероприятия по антимонопольному законодательству и антимонопольному комплаенсу составляет - 1 или 100%.</w:t>
      </w:r>
    </w:p>
    <w:p>
      <w:pPr>
        <w:pStyle w:val="6"/>
        <w:ind w:left="0"/>
        <w:jc w:val="left"/>
      </w:pPr>
    </w:p>
    <w:p>
      <w:pPr>
        <w:tabs>
          <w:tab w:val="left" w:pos="1324"/>
        </w:tabs>
        <w:spacing w:after="0" w:line="240" w:lineRule="auto"/>
        <w:ind w:right="10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Ознакомление служащих комитетата с антимонопольным комплаенсом. Проведение обучения требованиям антимонопольного законодательства и антимонопольного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комплаенса.</w:t>
      </w:r>
    </w:p>
    <w:p>
      <w:pPr>
        <w:pStyle w:val="6"/>
        <w:spacing w:before="196"/>
        <w:ind w:right="103" w:firstLine="607"/>
      </w:pPr>
      <w:r>
        <w:t>Уполномоченное подразделение комитета при поступлении на государственную гражданскую службу Костромской области, оформлении трудовых отношений по должностям, не относящимся к должностям государственной гражданской службы Костромской области, обеспечивает ознакомление гражданина Российской Федерации с приказом  комитета от    25 февраля 2019 года № 42 «Об организации системы внутреннего обеспечения соответствия требованиям антимонопольного законодательства Российской Федерации в комитете по делам молодежи Костромской области».</w:t>
      </w:r>
    </w:p>
    <w:p>
      <w:pPr>
        <w:pStyle w:val="6"/>
        <w:ind w:right="109" w:firstLine="539"/>
      </w:pPr>
      <w:r>
        <w:t>Уполномоченное подразделение комитета организует систематическое обучение сотрудников комитета требованиям антимонопольного законодательства и антимонопольного комплаенса в следующих формах:</w:t>
      </w:r>
    </w:p>
    <w:p>
      <w:pPr>
        <w:pStyle w:val="6"/>
        <w:ind w:right="109" w:firstLine="539"/>
      </w:pPr>
      <w:r>
        <w:t>1) вводный (первичный) инструктаж;</w:t>
      </w:r>
    </w:p>
    <w:p>
      <w:pPr>
        <w:pStyle w:val="6"/>
        <w:ind w:right="109" w:firstLine="539"/>
      </w:pPr>
      <w:r>
        <w:t>2) целевой (внеплановый) инструктаж;</w:t>
      </w:r>
    </w:p>
    <w:p>
      <w:pPr>
        <w:pStyle w:val="6"/>
        <w:ind w:right="109" w:firstLine="539"/>
      </w:pPr>
      <w:r>
        <w:t>3) иные обучающие мероприятия.</w:t>
      </w:r>
    </w:p>
    <w:p>
      <w:pPr>
        <w:pStyle w:val="6"/>
        <w:ind w:right="103" w:firstLine="539"/>
      </w:pPr>
      <w:r>
        <w:t>Вводный, (первичный) инструктаж:  ознакомление с основами антимонопольного законодательства,  приказом комитета от  25 февраля  2019 года № 42 «Об организации системы внутреннего обеспечения соответствия требованиям антимонопольного законодательства Российской Федерации в комитете по делам молодежи Костромской области» проводится при заключении служебного контракта либо при оформлении трудового договора с гражданином Российской Федерации.</w:t>
      </w:r>
    </w:p>
    <w:p>
      <w:pPr>
        <w:pStyle w:val="6"/>
        <w:ind w:right="110" w:firstLine="539"/>
      </w:pPr>
      <w:r>
        <w:t>Целевой (внеплановый) инструктаж: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комитета. Целевой (внеплановый) инструктаж осуществлялся в форме доведения до структурных подразделений комитета информационных сообщений.</w:t>
      </w:r>
    </w:p>
    <w:p>
      <w:pPr>
        <w:pStyle w:val="6"/>
        <w:ind w:right="110" w:firstLine="539"/>
      </w:pPr>
      <w:r>
        <w:t>Иные обучающие мероприятия: организация рассмотрения вопросов антимонопольного законодательства при проведении обучающих семинаров в рамках служебной подготовки (</w:t>
      </w:r>
      <w:r>
        <w:rPr>
          <w:rFonts w:hint="default"/>
          <w:lang w:val="ru-RU"/>
        </w:rPr>
        <w:t>2</w:t>
      </w:r>
      <w:r>
        <w:t xml:space="preserve"> занятия в 20</w:t>
      </w:r>
      <w:r>
        <w:rPr>
          <w:rFonts w:hint="default"/>
          <w:lang w:val="ru-RU"/>
        </w:rPr>
        <w:t>21</w:t>
      </w:r>
      <w:r>
        <w:t xml:space="preserve"> году).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 Исакова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0FFB"/>
    <w:rsid w:val="002105BD"/>
    <w:rsid w:val="002502B3"/>
    <w:rsid w:val="00306C4B"/>
    <w:rsid w:val="003C64CD"/>
    <w:rsid w:val="003D247D"/>
    <w:rsid w:val="004255F8"/>
    <w:rsid w:val="004525F7"/>
    <w:rsid w:val="005404BD"/>
    <w:rsid w:val="00577FD4"/>
    <w:rsid w:val="005D4CD3"/>
    <w:rsid w:val="005E0AF4"/>
    <w:rsid w:val="005E3DEE"/>
    <w:rsid w:val="005F7E1D"/>
    <w:rsid w:val="00634483"/>
    <w:rsid w:val="00654DA0"/>
    <w:rsid w:val="006C040D"/>
    <w:rsid w:val="006C5D9E"/>
    <w:rsid w:val="006D329E"/>
    <w:rsid w:val="00721734"/>
    <w:rsid w:val="00741551"/>
    <w:rsid w:val="00746DA8"/>
    <w:rsid w:val="007B0536"/>
    <w:rsid w:val="007B2A84"/>
    <w:rsid w:val="007F1EDB"/>
    <w:rsid w:val="00922824"/>
    <w:rsid w:val="00936608"/>
    <w:rsid w:val="00971CC3"/>
    <w:rsid w:val="00A03151"/>
    <w:rsid w:val="00A164C8"/>
    <w:rsid w:val="00A36C7D"/>
    <w:rsid w:val="00A80427"/>
    <w:rsid w:val="00AB3850"/>
    <w:rsid w:val="00B430F8"/>
    <w:rsid w:val="00B76554"/>
    <w:rsid w:val="00B80158"/>
    <w:rsid w:val="00B946C7"/>
    <w:rsid w:val="00BA09C8"/>
    <w:rsid w:val="00BB7AD4"/>
    <w:rsid w:val="00BD1D75"/>
    <w:rsid w:val="00C07437"/>
    <w:rsid w:val="00C67596"/>
    <w:rsid w:val="00CD081E"/>
    <w:rsid w:val="00CD6CE4"/>
    <w:rsid w:val="00CF5968"/>
    <w:rsid w:val="00DB42B1"/>
    <w:rsid w:val="00E31BD8"/>
    <w:rsid w:val="00EB24C4"/>
    <w:rsid w:val="00ED2498"/>
    <w:rsid w:val="00ED374A"/>
    <w:rsid w:val="00EE1015"/>
    <w:rsid w:val="00EF6E64"/>
    <w:rsid w:val="00F06910"/>
    <w:rsid w:val="00F25E01"/>
    <w:rsid w:val="00F6014B"/>
    <w:rsid w:val="00F95519"/>
    <w:rsid w:val="00FB2DDE"/>
    <w:rsid w:val="09696412"/>
    <w:rsid w:val="28BA2D9E"/>
    <w:rsid w:val="50DA08C5"/>
    <w:rsid w:val="576C06BB"/>
    <w:rsid w:val="5FC91018"/>
    <w:rsid w:val="7B7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8"/>
    <w:qFormat/>
    <w:uiPriority w:val="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 w:eastAsia="Times New Roman" w:cs="Times New Roman"/>
      <w:sz w:val="28"/>
      <w:szCs w:val="28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Знак"/>
    <w:basedOn w:val="2"/>
    <w:link w:val="6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9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2" w:firstLine="760"/>
      <w:jc w:val="both"/>
    </w:pPr>
    <w:rPr>
      <w:rFonts w:ascii="Times New Roman" w:hAnsi="Times New Roman" w:eastAsia="Times New Roman" w:cs="Times New Roman"/>
    </w:rPr>
  </w:style>
  <w:style w:type="paragraph" w:customStyle="1" w:styleId="10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styleId="11">
    <w:name w:val="Placeholder Text"/>
    <w:basedOn w:val="2"/>
    <w:semiHidden/>
    <w:uiPriority w:val="99"/>
    <w:rPr>
      <w:color w:val="808080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9C90A-7962-45AE-9DF6-804E5FD22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3809</Words>
  <Characters>21716</Characters>
  <Lines>180</Lines>
  <Paragraphs>50</Paragraphs>
  <TotalTime>31</TotalTime>
  <ScaleCrop>false</ScaleCrop>
  <LinksUpToDate>false</LinksUpToDate>
  <CharactersWithSpaces>25475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2020-02-25T09:50:00Z</dcterms:created>
  <dc:creator>Комитет840</dc:creator>
  <cp:lastModifiedBy>Комитет840</cp:lastModifiedBy>
  <cp:lastPrinted>2022-02-18T13:39:27Z</cp:lastPrinted>
  <dcterms:modified xsi:type="dcterms:W3CDTF">2022-02-18T14:28:07Z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7C31B19822C24EBABE492E1866BDCBA6</vt:lpwstr>
  </property>
</Properties>
</file>